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64" w:rsidRPr="003633B9" w:rsidRDefault="00F67D64" w:rsidP="000969DA">
      <w:pPr>
        <w:tabs>
          <w:tab w:val="center" w:pos="4929"/>
          <w:tab w:val="right" w:pos="9859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bookmarkEnd w:id="0"/>
      <w:r w:rsidRPr="003633B9">
        <w:rPr>
          <w:rFonts w:ascii="Arial" w:hAnsi="Arial" w:cs="Arial"/>
          <w:b/>
          <w:color w:val="002060"/>
          <w:sz w:val="32"/>
          <w:szCs w:val="32"/>
        </w:rPr>
        <w:t>Job Profile</w:t>
      </w:r>
    </w:p>
    <w:p w:rsidR="00F67D64" w:rsidRPr="003633B9" w:rsidRDefault="00F67D64" w:rsidP="00F67D64">
      <w:pPr>
        <w:spacing w:line="276" w:lineRule="auto"/>
        <w:jc w:val="both"/>
        <w:rPr>
          <w:rFonts w:ascii="Arial" w:hAnsi="Arial" w:cs="Arial"/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25"/>
        <w:gridCol w:w="3216"/>
        <w:gridCol w:w="1763"/>
        <w:gridCol w:w="2604"/>
      </w:tblGrid>
      <w:tr w:rsidR="00F67D64" w:rsidRPr="003633B9" w:rsidTr="009C640A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3633B9">
              <w:rPr>
                <w:rFonts w:ascii="Arial" w:hAnsi="Arial" w:cs="Arial"/>
                <w:b/>
                <w:color w:val="002060"/>
              </w:rPr>
              <w:t>Job Title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67D64" w:rsidRPr="003633B9" w:rsidRDefault="00F67D64" w:rsidP="00F67D64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  <w:lang w:eastAsia="en-GB"/>
              </w:rPr>
              <w:t>Group Operations Assistant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3633B9">
              <w:rPr>
                <w:rFonts w:ascii="Arial" w:hAnsi="Arial" w:cs="Arial"/>
                <w:b/>
                <w:color w:val="002060"/>
              </w:rPr>
              <w:t>Name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TBC</w:t>
            </w:r>
          </w:p>
        </w:tc>
      </w:tr>
      <w:tr w:rsidR="00F67D64" w:rsidRPr="003633B9" w:rsidTr="009C640A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3633B9">
              <w:rPr>
                <w:rFonts w:ascii="Arial" w:hAnsi="Arial" w:cs="Arial"/>
                <w:b/>
                <w:color w:val="002060"/>
              </w:rPr>
              <w:t>Reports To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67D64" w:rsidRPr="003633B9" w:rsidRDefault="00F67D64" w:rsidP="009C640A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Group Operations Director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Region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 L Dallas – all branches</w:t>
            </w:r>
          </w:p>
        </w:tc>
      </w:tr>
      <w:tr w:rsidR="00F67D64" w:rsidRPr="003633B9" w:rsidTr="009C640A">
        <w:trPr>
          <w:trHeight w:val="340"/>
        </w:trPr>
        <w:tc>
          <w:tcPr>
            <w:tcW w:w="133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3633B9">
              <w:rPr>
                <w:rFonts w:ascii="Arial" w:hAnsi="Arial" w:cs="Arial"/>
                <w:b/>
                <w:color w:val="002060"/>
              </w:rPr>
              <w:t>Location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Bradford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F67D64" w:rsidRPr="003633B9" w:rsidRDefault="00F67D64" w:rsidP="009C640A">
            <w:pPr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Hours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7D64" w:rsidRPr="00923F6C" w:rsidRDefault="00F67D64" w:rsidP="009C640A">
            <w:pPr>
              <w:jc w:val="both"/>
              <w:rPr>
                <w:rFonts w:ascii="Arial" w:hAnsi="Arial" w:cs="Arial"/>
                <w:color w:val="003C60"/>
              </w:rPr>
            </w:pPr>
            <w:r w:rsidRPr="00923F6C">
              <w:rPr>
                <w:rFonts w:ascii="Arial" w:hAnsi="Arial" w:cs="Arial"/>
                <w:color w:val="003C60"/>
              </w:rPr>
              <w:t>Monday to Friday, 9am – 5pm</w:t>
            </w:r>
          </w:p>
        </w:tc>
      </w:tr>
    </w:tbl>
    <w:p w:rsidR="00F67D64" w:rsidRPr="003633B9" w:rsidRDefault="00F67D64" w:rsidP="00F67D64">
      <w:pPr>
        <w:pStyle w:val="BodyText"/>
        <w:spacing w:line="240" w:lineRule="auto"/>
        <w:jc w:val="center"/>
        <w:rPr>
          <w:rFonts w:cs="Arial"/>
          <w:b/>
          <w:color w:val="002060"/>
          <w:sz w:val="28"/>
        </w:rPr>
      </w:pPr>
    </w:p>
    <w:p w:rsidR="00F67D64" w:rsidRDefault="00F67D64" w:rsidP="00F67D64">
      <w:pPr>
        <w:rPr>
          <w:rFonts w:ascii="Arial" w:hAnsi="Arial" w:cs="Arial"/>
          <w:b/>
        </w:rPr>
      </w:pPr>
    </w:p>
    <w:p w:rsidR="00F67D64" w:rsidRPr="003633B9" w:rsidRDefault="00F67D64" w:rsidP="00F67D64">
      <w:pPr>
        <w:pStyle w:val="BodyText"/>
        <w:spacing w:line="240" w:lineRule="auto"/>
        <w:rPr>
          <w:rFonts w:cs="Arial"/>
          <w:b/>
          <w:color w:val="002060"/>
        </w:rPr>
      </w:pPr>
      <w:r w:rsidRPr="003633B9">
        <w:rPr>
          <w:rFonts w:cs="Arial"/>
          <w:b/>
          <w:color w:val="002060"/>
        </w:rPr>
        <w:t xml:space="preserve">Purpose </w:t>
      </w:r>
    </w:p>
    <w:p w:rsidR="00F67D64" w:rsidRDefault="00F67D64" w:rsidP="00F67D64">
      <w:pPr>
        <w:rPr>
          <w:rFonts w:ascii="Arial" w:hAnsi="Arial" w:cs="Arial"/>
        </w:rPr>
      </w:pPr>
    </w:p>
    <w:p w:rsidR="00F67D64" w:rsidRDefault="00F67D64" w:rsidP="00F67D64">
      <w:pPr>
        <w:rPr>
          <w:rFonts w:ascii="Arial" w:hAnsi="Arial" w:cs="Arial"/>
        </w:rPr>
      </w:pPr>
      <w:r w:rsidRPr="00923F6C">
        <w:rPr>
          <w:rFonts w:ascii="Arial" w:hAnsi="Arial" w:cs="Arial"/>
        </w:rPr>
        <w:t xml:space="preserve">This role is focused on </w:t>
      </w:r>
      <w:r>
        <w:rPr>
          <w:rFonts w:ascii="Arial" w:hAnsi="Arial" w:cs="Arial"/>
        </w:rPr>
        <w:t xml:space="preserve">supporting the Group Operations Director (and Operations Board) to </w:t>
      </w:r>
    </w:p>
    <w:p w:rsidR="00F67D64" w:rsidRDefault="00F67D64" w:rsidP="00F67D64">
      <w:pPr>
        <w:rPr>
          <w:rFonts w:ascii="Arial" w:hAnsi="Arial" w:cs="Arial"/>
        </w:rPr>
      </w:pPr>
    </w:p>
    <w:p w:rsidR="00F67D64" w:rsidRDefault="00F67D64" w:rsidP="00F67D6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Pr="00923F6C">
        <w:rPr>
          <w:rFonts w:ascii="Arial" w:hAnsi="Arial" w:cs="Arial"/>
        </w:rPr>
        <w:t xml:space="preserve">an efficient </w:t>
      </w:r>
      <w:proofErr w:type="spellStart"/>
      <w:r w:rsidRPr="00923F6C">
        <w:rPr>
          <w:rFonts w:ascii="Arial" w:hAnsi="Arial" w:cs="Arial"/>
        </w:rPr>
        <w:t>Acturis</w:t>
      </w:r>
      <w:proofErr w:type="spellEnd"/>
      <w:r w:rsidRPr="00923F6C">
        <w:rPr>
          <w:rFonts w:ascii="Arial" w:hAnsi="Arial" w:cs="Arial"/>
        </w:rPr>
        <w:t xml:space="preserve"> solution which will enable the business to deliver its goal</w:t>
      </w:r>
      <w:r>
        <w:rPr>
          <w:rFonts w:ascii="Arial" w:hAnsi="Arial" w:cs="Arial"/>
        </w:rPr>
        <w:t>s</w:t>
      </w:r>
    </w:p>
    <w:p w:rsidR="00F67D64" w:rsidRDefault="00F67D64" w:rsidP="00F67D6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assist with operation of outsourced finance administration, processes and management</w:t>
      </w:r>
    </w:p>
    <w:p w:rsidR="00F67D64" w:rsidRDefault="00F67D64" w:rsidP="00F67D6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assist with operation of Group-wide schemes ensuring efficiencies and best practice</w:t>
      </w:r>
    </w:p>
    <w:p w:rsidR="00F67D64" w:rsidRDefault="00F67D64" w:rsidP="00F67D64">
      <w:pPr>
        <w:rPr>
          <w:rFonts w:ascii="Arial" w:hAnsi="Arial" w:cs="Arial"/>
        </w:rPr>
      </w:pPr>
    </w:p>
    <w:p w:rsidR="00435642" w:rsidRDefault="00435642" w:rsidP="00F67D64">
      <w:pPr>
        <w:pStyle w:val="Heading2"/>
        <w:rPr>
          <w:b w:val="0"/>
          <w:bCs w:val="0"/>
          <w:iCs w:val="0"/>
          <w:color w:val="auto"/>
          <w:sz w:val="20"/>
          <w:szCs w:val="20"/>
        </w:rPr>
      </w:pPr>
      <w:r w:rsidRPr="00435642">
        <w:rPr>
          <w:b w:val="0"/>
          <w:bCs w:val="0"/>
          <w:iCs w:val="0"/>
          <w:color w:val="auto"/>
          <w:sz w:val="20"/>
          <w:szCs w:val="20"/>
        </w:rPr>
        <w:t>The following responsibilities and tasks are highlighted as the key areas determined within this role. The list however is not exhaustive</w:t>
      </w:r>
      <w:r>
        <w:rPr>
          <w:b w:val="0"/>
          <w:bCs w:val="0"/>
          <w:iCs w:val="0"/>
          <w:color w:val="auto"/>
          <w:sz w:val="20"/>
          <w:szCs w:val="20"/>
        </w:rPr>
        <w:t xml:space="preserve"> and the individual</w:t>
      </w:r>
      <w:r w:rsidRPr="00435642">
        <w:rPr>
          <w:b w:val="0"/>
          <w:bCs w:val="0"/>
          <w:iCs w:val="0"/>
          <w:color w:val="auto"/>
          <w:sz w:val="20"/>
          <w:szCs w:val="20"/>
        </w:rPr>
        <w:t xml:space="preserve"> will be expected to undertake additional appropriate tasks, as required from time to time, to fulfil the role as required. </w:t>
      </w:r>
    </w:p>
    <w:p w:rsidR="00F67D64" w:rsidRPr="00FD4587" w:rsidRDefault="00F67D64" w:rsidP="00F67D64">
      <w:pPr>
        <w:pStyle w:val="Heading2"/>
      </w:pPr>
      <w:r w:rsidRPr="00FD4587">
        <w:t xml:space="preserve">Key </w:t>
      </w:r>
      <w:r w:rsidRPr="00F67D64">
        <w:t xml:space="preserve">Functions – </w:t>
      </w:r>
      <w:proofErr w:type="spellStart"/>
      <w:r w:rsidRPr="00F67D64">
        <w:t>Acturis</w:t>
      </w:r>
      <w:proofErr w:type="spellEnd"/>
      <w:r w:rsidRPr="00F67D64">
        <w:t xml:space="preserve"> </w:t>
      </w:r>
    </w:p>
    <w:p w:rsidR="00F67D64" w:rsidRPr="00F67D64" w:rsidRDefault="00F67D64" w:rsidP="00F67D64">
      <w:pPr>
        <w:spacing w:after="120"/>
        <w:rPr>
          <w:rFonts w:ascii="Arial" w:hAnsi="Arial" w:cs="Arial"/>
          <w:b/>
          <w:highlight w:val="yellow"/>
        </w:rPr>
      </w:pPr>
    </w:p>
    <w:p w:rsidR="00F67D64" w:rsidRPr="00FD4587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>C</w:t>
      </w:r>
      <w:r w:rsidRPr="00FD4587">
        <w:rPr>
          <w:rFonts w:ascii="Arial" w:hAnsi="Arial" w:cs="Arial"/>
        </w:rPr>
        <w:t>onfiguration and customisation of insurance broking software</w:t>
      </w:r>
      <w:r w:rsidRPr="00F67D64">
        <w:rPr>
          <w:rFonts w:ascii="Arial" w:hAnsi="Arial" w:cs="Arial"/>
        </w:rPr>
        <w:t xml:space="preserve">, including assistance with </w:t>
      </w:r>
      <w:r w:rsidRPr="00FD4587">
        <w:rPr>
          <w:rFonts w:ascii="Arial" w:hAnsi="Arial" w:cs="Arial"/>
        </w:rPr>
        <w:t xml:space="preserve"> </w:t>
      </w:r>
      <w:r w:rsidRPr="00F67D64">
        <w:rPr>
          <w:rFonts w:ascii="Arial" w:hAnsi="Arial" w:cs="Arial"/>
        </w:rPr>
        <w:t>development and/</w:t>
      </w:r>
      <w:r w:rsidRPr="00FD4587">
        <w:rPr>
          <w:rFonts w:ascii="Arial" w:hAnsi="Arial" w:cs="Arial"/>
        </w:rPr>
        <w:t>or implementation project management.</w:t>
      </w:r>
    </w:p>
    <w:p w:rsidR="00F67D64" w:rsidRPr="00FD4587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Troubleshooting and/or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liaison for circa 150+ staff with issues specific to said software. Reviewing system updates, changes and developments advised by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, assessing their impact on the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, and </w:t>
      </w:r>
      <w:r w:rsidRPr="00F67D64">
        <w:rPr>
          <w:rFonts w:ascii="Arial" w:hAnsi="Arial" w:cs="Arial"/>
        </w:rPr>
        <w:t xml:space="preserve">considering </w:t>
      </w:r>
      <w:r>
        <w:rPr>
          <w:rFonts w:ascii="Arial" w:hAnsi="Arial" w:cs="Arial"/>
        </w:rPr>
        <w:t>‘Group</w:t>
      </w:r>
      <w:r w:rsidRPr="00F67D64">
        <w:rPr>
          <w:rFonts w:ascii="Arial" w:hAnsi="Arial" w:cs="Arial"/>
        </w:rPr>
        <w:t xml:space="preserve">’ </w:t>
      </w:r>
      <w:r w:rsidRPr="00FD4587">
        <w:rPr>
          <w:rFonts w:ascii="Arial" w:hAnsi="Arial" w:cs="Arial"/>
        </w:rPr>
        <w:t>needs accordingly.</w:t>
      </w: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Engaging with and representing the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’s interests at User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 meetings (external and internal)</w:t>
      </w:r>
      <w:r>
        <w:rPr>
          <w:rFonts w:ascii="Arial" w:hAnsi="Arial" w:cs="Arial"/>
        </w:rPr>
        <w:t xml:space="preserve"> as required</w:t>
      </w: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Establish and maintain key relationships with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in support of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 O</w:t>
      </w:r>
      <w:r w:rsidRPr="00F67D64">
        <w:rPr>
          <w:rFonts w:ascii="Arial" w:hAnsi="Arial" w:cs="Arial"/>
        </w:rPr>
        <w:t>perations Director</w:t>
      </w: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>Creation of or support with Management Information production for Team Leaders / M</w:t>
      </w:r>
      <w:r w:rsidRPr="00FD4587">
        <w:rPr>
          <w:rFonts w:ascii="Arial" w:hAnsi="Arial" w:cs="Arial"/>
        </w:rPr>
        <w:t xml:space="preserve">anagers and </w:t>
      </w:r>
      <w:r w:rsidRPr="00F67D64">
        <w:rPr>
          <w:rFonts w:ascii="Arial" w:hAnsi="Arial" w:cs="Arial"/>
        </w:rPr>
        <w:t>D</w:t>
      </w:r>
      <w:r w:rsidRPr="00FD4587">
        <w:rPr>
          <w:rFonts w:ascii="Arial" w:hAnsi="Arial" w:cs="Arial"/>
        </w:rPr>
        <w:t>epartmental</w:t>
      </w:r>
      <w:r>
        <w:rPr>
          <w:rFonts w:ascii="Arial" w:hAnsi="Arial" w:cs="Arial"/>
        </w:rPr>
        <w:t xml:space="preserve"> </w:t>
      </w:r>
      <w:r w:rsidRPr="00F67D6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67D64">
        <w:rPr>
          <w:rFonts w:ascii="Arial" w:hAnsi="Arial" w:cs="Arial"/>
        </w:rPr>
        <w:t>Branch h</w:t>
      </w:r>
      <w:r w:rsidRPr="00FD4587">
        <w:rPr>
          <w:rFonts w:ascii="Arial" w:hAnsi="Arial" w:cs="Arial"/>
        </w:rPr>
        <w:t>eads</w:t>
      </w:r>
      <w:r w:rsidRPr="00F67D64">
        <w:rPr>
          <w:rFonts w:ascii="Arial" w:hAnsi="Arial" w:cs="Arial"/>
        </w:rPr>
        <w:t xml:space="preserve"> via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Reporting suite</w:t>
      </w: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>Creation of or support with Document templates, common content library, reporting questions, template content options</w:t>
      </w:r>
      <w:r>
        <w:rPr>
          <w:rFonts w:ascii="Arial" w:hAnsi="Arial" w:cs="Arial"/>
        </w:rPr>
        <w:t xml:space="preserve">, </w:t>
      </w:r>
      <w:r w:rsidRPr="00FD4587">
        <w:rPr>
          <w:rFonts w:ascii="Arial" w:hAnsi="Arial" w:cs="Arial"/>
        </w:rPr>
        <w:t xml:space="preserve">workflow and other </w:t>
      </w:r>
      <w:r w:rsidRPr="00F67D64">
        <w:rPr>
          <w:rFonts w:ascii="Arial" w:hAnsi="Arial" w:cs="Arial"/>
        </w:rPr>
        <w:t xml:space="preserve">processes within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 </w:t>
      </w:r>
    </w:p>
    <w:p w:rsidR="00F67D64" w:rsidRPr="00F67D64" w:rsidRDefault="00F67D64" w:rsidP="00F67D64">
      <w:pPr>
        <w:pStyle w:val="Heading2"/>
      </w:pPr>
      <w:r>
        <w:t>Other</w:t>
      </w:r>
      <w:r w:rsidRPr="00F67D64">
        <w:t xml:space="preserve"> Key Functions </w:t>
      </w:r>
    </w:p>
    <w:p w:rsidR="00F67D64" w:rsidRPr="00F67D64" w:rsidRDefault="00F67D64" w:rsidP="00F67D64">
      <w:pPr>
        <w:pStyle w:val="ListParagraph"/>
        <w:spacing w:after="120" w:line="276" w:lineRule="auto"/>
        <w:ind w:left="0"/>
        <w:rPr>
          <w:rFonts w:ascii="Arial" w:hAnsi="Arial" w:cs="Arial"/>
          <w:highlight w:val="yellow"/>
        </w:rPr>
      </w:pP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D4587">
        <w:rPr>
          <w:rFonts w:ascii="Arial" w:hAnsi="Arial" w:cs="Arial"/>
        </w:rPr>
        <w:t xml:space="preserve">Ability to support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 Operations Director with work involving </w:t>
      </w:r>
      <w:r w:rsidRPr="00F67D64">
        <w:rPr>
          <w:rFonts w:ascii="Arial" w:hAnsi="Arial" w:cs="Arial"/>
        </w:rPr>
        <w:t>key T L Dallas relationships including Premium Finance and Schemes</w:t>
      </w:r>
    </w:p>
    <w:p w:rsid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Ability to support </w:t>
      </w:r>
      <w:r>
        <w:rPr>
          <w:rFonts w:ascii="Arial" w:hAnsi="Arial" w:cs="Arial"/>
        </w:rPr>
        <w:t>Group</w:t>
      </w:r>
      <w:r w:rsidRPr="00FD4587">
        <w:rPr>
          <w:rFonts w:ascii="Arial" w:hAnsi="Arial" w:cs="Arial"/>
        </w:rPr>
        <w:t xml:space="preserve"> Operations Director to facilitate </w:t>
      </w:r>
      <w:r w:rsidRPr="00F67D64">
        <w:rPr>
          <w:rFonts w:ascii="Arial" w:hAnsi="Arial" w:cs="Arial"/>
        </w:rPr>
        <w:t xml:space="preserve">in-house operations / best practice </w:t>
      </w:r>
      <w:r>
        <w:rPr>
          <w:rFonts w:ascii="Arial" w:hAnsi="Arial" w:cs="Arial"/>
        </w:rPr>
        <w:t>Group</w:t>
      </w:r>
    </w:p>
    <w:p w:rsidR="00F67D64" w:rsidRPr="00FD4587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support Group Operations Director with administration of third party web-based portals </w:t>
      </w:r>
    </w:p>
    <w:p w:rsidR="00F67D64" w:rsidRPr="00F67D64" w:rsidRDefault="00F67D64" w:rsidP="00F67D6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Ability to t</w:t>
      </w:r>
      <w:r w:rsidRPr="00FD4587">
        <w:rPr>
          <w:rFonts w:ascii="Arial" w:hAnsi="Arial" w:cs="Arial"/>
        </w:rPr>
        <w:t xml:space="preserve">roubleshoot </w:t>
      </w:r>
      <w:r w:rsidRPr="00F67D64">
        <w:rPr>
          <w:rFonts w:ascii="Arial" w:hAnsi="Arial" w:cs="Arial"/>
        </w:rPr>
        <w:t>Premium Finance providers / Schemes</w:t>
      </w:r>
    </w:p>
    <w:p w:rsidR="00F67D64" w:rsidRPr="00F67D64" w:rsidRDefault="00F67D64" w:rsidP="00F67D64">
      <w:pPr>
        <w:pStyle w:val="Heading2"/>
        <w:spacing w:after="120"/>
      </w:pPr>
      <w:r w:rsidRPr="00FD4587">
        <w:lastRenderedPageBreak/>
        <w:t xml:space="preserve">The applicant </w:t>
      </w:r>
      <w:r>
        <w:t>will</w:t>
      </w:r>
      <w:r w:rsidRPr="00FD4587">
        <w:t xml:space="preserve"> </w:t>
      </w:r>
      <w:r w:rsidRPr="00F67D64">
        <w:t xml:space="preserve">ideally </w:t>
      </w:r>
      <w:r w:rsidRPr="00FD4587">
        <w:t>ha</w:t>
      </w:r>
      <w:r w:rsidRPr="00F67D64">
        <w:t>ve</w:t>
      </w:r>
    </w:p>
    <w:p w:rsidR="00F67D64" w:rsidRPr="00F67D64" w:rsidRDefault="00F67D64" w:rsidP="00F67D64">
      <w:pPr>
        <w:spacing w:after="120"/>
        <w:rPr>
          <w:rFonts w:ascii="Arial" w:hAnsi="Arial" w:cs="Arial"/>
        </w:rPr>
      </w:pPr>
    </w:p>
    <w:p w:rsidR="00F67D64" w:rsidRPr="00F67D64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Thorough and recent experience of insurance broking software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>.  Specifically including the ability to:-</w:t>
      </w:r>
    </w:p>
    <w:p w:rsidR="00F67D64" w:rsidRPr="00F67D64" w:rsidRDefault="00F67D64" w:rsidP="00F67D64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Manage and troubleshoot the TL </w:t>
      </w:r>
      <w:r>
        <w:rPr>
          <w:rFonts w:ascii="Arial" w:hAnsi="Arial" w:cs="Arial"/>
        </w:rPr>
        <w:t xml:space="preserve">Dallas </w:t>
      </w:r>
      <w:proofErr w:type="spellStart"/>
      <w:r>
        <w:rPr>
          <w:rFonts w:ascii="Arial" w:hAnsi="Arial" w:cs="Arial"/>
        </w:rPr>
        <w:t>Acturis</w:t>
      </w:r>
      <w:proofErr w:type="spellEnd"/>
      <w:r>
        <w:rPr>
          <w:rFonts w:ascii="Arial" w:hAnsi="Arial" w:cs="Arial"/>
        </w:rPr>
        <w:t xml:space="preserve"> D</w:t>
      </w:r>
      <w:r w:rsidRPr="00FD4587">
        <w:rPr>
          <w:rFonts w:ascii="Arial" w:hAnsi="Arial" w:cs="Arial"/>
        </w:rPr>
        <w:t>ocument suite (complex and self service)</w:t>
      </w:r>
      <w:r w:rsidRPr="00F67D64">
        <w:rPr>
          <w:rFonts w:ascii="Arial" w:hAnsi="Arial" w:cs="Arial"/>
        </w:rPr>
        <w:t xml:space="preserve"> </w:t>
      </w:r>
    </w:p>
    <w:p w:rsidR="00F67D64" w:rsidRPr="00F67D64" w:rsidRDefault="00F67D64" w:rsidP="00F67D64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Create and customise reports using the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reporting modules and dashboards.</w:t>
      </w:r>
    </w:p>
    <w:p w:rsidR="00F67D64" w:rsidRPr="00FD4587" w:rsidRDefault="00F67D64" w:rsidP="00F67D64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>Create and test W</w:t>
      </w:r>
      <w:r>
        <w:rPr>
          <w:rFonts w:ascii="Arial" w:hAnsi="Arial" w:cs="Arial"/>
        </w:rPr>
        <w:t>orkflows</w:t>
      </w:r>
    </w:p>
    <w:p w:rsidR="00F67D64" w:rsidRPr="00F67D64" w:rsidRDefault="00F67D64" w:rsidP="00F67D64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>Create and action Automation</w:t>
      </w:r>
    </w:p>
    <w:p w:rsidR="00F67D64" w:rsidRPr="00F67D64" w:rsidRDefault="00F67D64" w:rsidP="00F67D64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Create or update other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 xml:space="preserve"> modules and functionality as required</w:t>
      </w:r>
    </w:p>
    <w:p w:rsidR="00F67D64" w:rsidRPr="00F67D64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Knowledge and experience of scoping, planning, specifying, testing and implementing Delegated Authority schemes on </w:t>
      </w:r>
      <w:proofErr w:type="spellStart"/>
      <w:r w:rsidRPr="00F67D64">
        <w:rPr>
          <w:rFonts w:ascii="Arial" w:hAnsi="Arial" w:cs="Arial"/>
        </w:rPr>
        <w:t>Acturis</w:t>
      </w:r>
      <w:proofErr w:type="spellEnd"/>
      <w:r w:rsidRPr="00F67D64">
        <w:rPr>
          <w:rFonts w:ascii="Arial" w:hAnsi="Arial" w:cs="Arial"/>
        </w:rPr>
        <w:t>, including planning documents, bordereaux, and bespoke claims systems.</w:t>
      </w:r>
    </w:p>
    <w:p w:rsidR="00F67D64" w:rsidRPr="006F4E79" w:rsidRDefault="00F67D64" w:rsidP="00F67D64">
      <w:pPr>
        <w:pStyle w:val="Heading2"/>
        <w:spacing w:after="120"/>
      </w:pPr>
      <w:r w:rsidRPr="006F4E79">
        <w:t xml:space="preserve">The applicant </w:t>
      </w:r>
      <w:r w:rsidRPr="00F67D64">
        <w:rPr>
          <w:u w:val="single"/>
        </w:rPr>
        <w:t>must</w:t>
      </w:r>
      <w:r>
        <w:t xml:space="preserve"> </w:t>
      </w:r>
      <w:r w:rsidRPr="006F4E79">
        <w:t>have</w:t>
      </w:r>
      <w:r>
        <w:t xml:space="preserve"> </w:t>
      </w:r>
    </w:p>
    <w:p w:rsidR="00F67D64" w:rsidRPr="00F67D64" w:rsidRDefault="00F67D64" w:rsidP="00F67D6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FD4587">
        <w:rPr>
          <w:rFonts w:ascii="Arial" w:hAnsi="Arial" w:cs="Arial"/>
        </w:rPr>
        <w:t>Excellent working knowledge of Microsoft office suite, includi</w:t>
      </w:r>
      <w:r w:rsidRPr="00F67D64">
        <w:rPr>
          <w:rFonts w:ascii="Arial" w:hAnsi="Arial" w:cs="Arial"/>
        </w:rPr>
        <w:t>ng Excel, Word, Outlook &amp; PowerPoint</w:t>
      </w:r>
    </w:p>
    <w:p w:rsidR="00F67D64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>Excellent communication skills (verbal and written) and a ‘can do’ enthusiastic attitude to supporting colleagues and resolving issues</w:t>
      </w:r>
    </w:p>
    <w:p w:rsidR="00F67D64" w:rsidRPr="00FD4587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passion for learning and personal development</w:t>
      </w:r>
    </w:p>
    <w:p w:rsidR="00F67D64" w:rsidRPr="00F67D64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Methodical, efficient and proven</w:t>
      </w:r>
      <w:r w:rsidRPr="00FD4587">
        <w:rPr>
          <w:rFonts w:ascii="Arial" w:hAnsi="Arial" w:cs="Arial"/>
        </w:rPr>
        <w:t xml:space="preserve"> organisational ability </w:t>
      </w:r>
    </w:p>
    <w:p w:rsidR="00F67D64" w:rsidRPr="00F67D64" w:rsidRDefault="00F67D64" w:rsidP="00F67D6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F67D64">
        <w:rPr>
          <w:rFonts w:ascii="Arial" w:hAnsi="Arial" w:cs="Arial"/>
        </w:rPr>
        <w:t>Ability to work under pressure, manage workload and meet required deadlines</w:t>
      </w:r>
    </w:p>
    <w:p w:rsidR="00F67D64" w:rsidRPr="00923F6C" w:rsidRDefault="00F67D64" w:rsidP="00F67D64">
      <w:pPr>
        <w:pStyle w:val="ListParagraph"/>
        <w:spacing w:after="120"/>
        <w:rPr>
          <w:rFonts w:ascii="Arial" w:hAnsi="Arial" w:cs="Arial"/>
        </w:rPr>
      </w:pPr>
    </w:p>
    <w:p w:rsidR="00F67D64" w:rsidRDefault="00F67D64" w:rsidP="00F67D64">
      <w:pPr>
        <w:pStyle w:val="Heading2"/>
        <w:spacing w:after="120"/>
      </w:pPr>
      <w:r w:rsidRPr="00B254C2">
        <w:t>Desirable but not essential</w:t>
      </w:r>
    </w:p>
    <w:p w:rsidR="00F67D64" w:rsidRPr="00923F6C" w:rsidRDefault="00F67D64" w:rsidP="00F67D64">
      <w:pPr>
        <w:spacing w:after="120"/>
        <w:rPr>
          <w:rFonts w:ascii="Arial" w:hAnsi="Arial" w:cs="Arial"/>
        </w:rPr>
      </w:pPr>
    </w:p>
    <w:p w:rsidR="00F67D64" w:rsidRPr="00F67D64" w:rsidRDefault="00F67D64" w:rsidP="00F67D64">
      <w:pPr>
        <w:pStyle w:val="ListParagraph"/>
        <w:numPr>
          <w:ilvl w:val="0"/>
          <w:numId w:val="2"/>
        </w:numPr>
        <w:spacing w:after="120"/>
        <w:ind w:left="567" w:hanging="283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   Knowledge of the Insurance industry and broking proces</w:t>
      </w:r>
      <w:r w:rsidRPr="00FD4587">
        <w:rPr>
          <w:rFonts w:ascii="Arial" w:hAnsi="Arial" w:cs="Arial"/>
        </w:rPr>
        <w:t>ses, terminology and priorities</w:t>
      </w:r>
    </w:p>
    <w:p w:rsidR="00F67D64" w:rsidRPr="00F67D64" w:rsidRDefault="00F67D64" w:rsidP="00F67D64">
      <w:pPr>
        <w:pStyle w:val="ListParagraph"/>
        <w:numPr>
          <w:ilvl w:val="0"/>
          <w:numId w:val="2"/>
        </w:numPr>
        <w:spacing w:after="120"/>
        <w:ind w:left="709" w:hanging="425"/>
        <w:rPr>
          <w:rFonts w:ascii="Arial" w:hAnsi="Arial" w:cs="Arial"/>
        </w:rPr>
      </w:pPr>
      <w:r w:rsidRPr="00F67D64">
        <w:rPr>
          <w:rFonts w:ascii="Arial" w:hAnsi="Arial" w:cs="Arial"/>
        </w:rPr>
        <w:t xml:space="preserve">Customer facing Insurance Broking experience </w:t>
      </w:r>
    </w:p>
    <w:p w:rsidR="00F67D64" w:rsidRDefault="00F67D64" w:rsidP="00F67D64">
      <w:pPr>
        <w:pStyle w:val="ListParagraph"/>
        <w:numPr>
          <w:ilvl w:val="0"/>
          <w:numId w:val="2"/>
        </w:numPr>
        <w:spacing w:after="12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Basic knowledge of FCA broking compliance requirements </w:t>
      </w:r>
    </w:p>
    <w:p w:rsidR="00F67D64" w:rsidRPr="00923F6C" w:rsidRDefault="00F67D64" w:rsidP="00F67D64">
      <w:pPr>
        <w:pStyle w:val="ListParagraph"/>
        <w:spacing w:after="120"/>
        <w:ind w:left="709"/>
        <w:rPr>
          <w:rFonts w:ascii="Arial" w:hAnsi="Arial" w:cs="Arial"/>
        </w:rPr>
      </w:pPr>
    </w:p>
    <w:p w:rsidR="00F67D64" w:rsidRDefault="00F67D64" w:rsidP="00F67D64">
      <w:pPr>
        <w:pStyle w:val="Heading2"/>
        <w:spacing w:after="120"/>
      </w:pPr>
      <w:r>
        <w:t>General information</w:t>
      </w:r>
    </w:p>
    <w:p w:rsidR="00F67D64" w:rsidRDefault="00F67D64" w:rsidP="00F67D64">
      <w:pPr>
        <w:pStyle w:val="ListParagraph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This is a wide-ranging and multi-faceted role, covering a multitude of operational responsibilities across various areas of the Group.   </w:t>
      </w:r>
    </w:p>
    <w:p w:rsidR="00F67D64" w:rsidRPr="006F4E79" w:rsidRDefault="00F67D64" w:rsidP="00F67D64">
      <w:pPr>
        <w:pStyle w:val="ListParagraph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Experience in some or all of the areas identified is preferred, however, the role </w:t>
      </w:r>
      <w:r w:rsidRPr="00F67D64">
        <w:rPr>
          <w:rFonts w:ascii="Arial" w:hAnsi="Arial" w:cs="Arial"/>
          <w:i/>
        </w:rPr>
        <w:t>will</w:t>
      </w:r>
      <w:r>
        <w:rPr>
          <w:rFonts w:ascii="Arial" w:hAnsi="Arial" w:cs="Arial"/>
        </w:rPr>
        <w:t xml:space="preserve"> require on the job training and the successful applicant will be able to demonstrate an enthusiastic willingness to learn, a can do attitude and have exceptional organisational, prioritisation and multi-tasking skills.</w:t>
      </w:r>
    </w:p>
    <w:p w:rsidR="00F67D64" w:rsidRPr="003633B9" w:rsidRDefault="00F67D64" w:rsidP="00F67D64">
      <w:pPr>
        <w:pStyle w:val="ListParagraph"/>
        <w:ind w:left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7D64" w:rsidRDefault="00F67D64" w:rsidP="00F67D64">
      <w:pPr>
        <w:pStyle w:val="ListParagraph"/>
        <w:ind w:left="0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TLD Values</w:t>
      </w:r>
    </w:p>
    <w:p w:rsidR="00F67D64" w:rsidRPr="003633B9" w:rsidRDefault="00F67D64" w:rsidP="00F67D64">
      <w:pPr>
        <w:pStyle w:val="ListParagraph"/>
        <w:ind w:left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7D64" w:rsidRPr="003633B9" w:rsidRDefault="00F67D64" w:rsidP="00F67D64">
      <w:pPr>
        <w:pStyle w:val="ListParagraph"/>
        <w:ind w:left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  <w:lang w:eastAsia="en-GB"/>
        </w:rPr>
        <w:drawing>
          <wp:inline distT="0" distB="0" distL="0" distR="0">
            <wp:extent cx="704215" cy="621030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noProof/>
          <w:color w:val="002060"/>
          <w:sz w:val="22"/>
          <w:szCs w:val="22"/>
          <w:lang w:eastAsia="en-GB"/>
        </w:rPr>
        <w:drawing>
          <wp:inline distT="0" distB="0" distL="0" distR="0">
            <wp:extent cx="676910" cy="6553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noProof/>
          <w:color w:val="002060"/>
          <w:sz w:val="22"/>
          <w:szCs w:val="22"/>
          <w:lang w:eastAsia="en-GB"/>
        </w:rPr>
        <w:drawing>
          <wp:inline distT="0" distB="0" distL="0" distR="0">
            <wp:extent cx="676275" cy="627380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noProof/>
          <w:color w:val="002060"/>
          <w:sz w:val="22"/>
          <w:szCs w:val="22"/>
          <w:lang w:eastAsia="en-GB"/>
        </w:rPr>
        <w:drawing>
          <wp:inline distT="0" distB="0" distL="0" distR="0">
            <wp:extent cx="691515" cy="64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D64" w:rsidRPr="003633B9" w:rsidRDefault="00F67D64" w:rsidP="00F67D64">
      <w:pPr>
        <w:pStyle w:val="ListParagraph"/>
        <w:jc w:val="both"/>
        <w:rPr>
          <w:rFonts w:ascii="Arial" w:hAnsi="Arial" w:cs="Arial"/>
          <w:b/>
          <w:color w:val="002060"/>
          <w:sz w:val="24"/>
          <w:szCs w:val="22"/>
        </w:rPr>
      </w:pPr>
    </w:p>
    <w:p w:rsidR="00515400" w:rsidRDefault="00F67D64" w:rsidP="00F67D64">
      <w:r>
        <w:rPr>
          <w:rFonts w:cs="Arial"/>
          <w:b/>
          <w:color w:val="002060"/>
        </w:rPr>
        <w:t>TRUST                             INTEGRITY                   COMMITMENT          COLLABORATION</w:t>
      </w:r>
    </w:p>
    <w:sectPr w:rsidR="0051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5BAA"/>
    <w:multiLevelType w:val="hybridMultilevel"/>
    <w:tmpl w:val="9E7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D6390"/>
    <w:multiLevelType w:val="hybridMultilevel"/>
    <w:tmpl w:val="C0E0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BA8"/>
    <w:multiLevelType w:val="hybridMultilevel"/>
    <w:tmpl w:val="61A450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05EF8"/>
    <w:multiLevelType w:val="hybridMultilevel"/>
    <w:tmpl w:val="3F24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C2F"/>
    <w:multiLevelType w:val="hybridMultilevel"/>
    <w:tmpl w:val="3FA03812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4"/>
    <w:rsid w:val="000969DA"/>
    <w:rsid w:val="00435642"/>
    <w:rsid w:val="00515400"/>
    <w:rsid w:val="00F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79F1-D369-4671-ACEA-C37D927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67D64"/>
    <w:pPr>
      <w:keepNext/>
      <w:spacing w:before="240" w:after="60"/>
      <w:outlineLvl w:val="1"/>
    </w:pPr>
    <w:rPr>
      <w:rFonts w:ascii="Arial" w:hAnsi="Arial" w:cs="Arial"/>
      <w:b/>
      <w:bCs/>
      <w:iCs/>
      <w:color w:val="00206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7D64"/>
    <w:rPr>
      <w:rFonts w:ascii="Arial" w:eastAsia="Times New Roman" w:hAnsi="Arial" w:cs="Arial"/>
      <w:b/>
      <w:bCs/>
      <w:iCs/>
      <w:color w:val="002060"/>
      <w:szCs w:val="28"/>
    </w:rPr>
  </w:style>
  <w:style w:type="paragraph" w:styleId="BodyText">
    <w:name w:val="Body Text"/>
    <w:basedOn w:val="Normal"/>
    <w:link w:val="BodyTextChar"/>
    <w:rsid w:val="00F67D64"/>
    <w:pPr>
      <w:tabs>
        <w:tab w:val="left" w:pos="2700"/>
      </w:tabs>
      <w:spacing w:line="288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67D6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67D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Tyler</dc:creator>
  <cp:keywords/>
  <dc:description/>
  <cp:lastModifiedBy>Lizzy Tyler</cp:lastModifiedBy>
  <cp:revision>2</cp:revision>
  <dcterms:created xsi:type="dcterms:W3CDTF">2023-11-30T11:00:00Z</dcterms:created>
  <dcterms:modified xsi:type="dcterms:W3CDTF">2023-11-30T13:48:00Z</dcterms:modified>
</cp:coreProperties>
</file>